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F2" w:rsidRPr="00DF3EA6" w:rsidRDefault="007345F2" w:rsidP="007345F2">
      <w:pPr>
        <w:pStyle w:val="a5"/>
        <w:ind w:firstLine="567"/>
        <w:jc w:val="center"/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СОГЛАШЕНИЕ О КОНФИДЕНЦИАЛЬНОСТИ</w:t>
      </w:r>
    </w:p>
    <w:p w:rsidR="007345F2" w:rsidRPr="00DF3EA6" w:rsidRDefault="007345F2" w:rsidP="007345F2">
      <w:pPr>
        <w:pStyle w:val="a5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Соглашение о конфиденциальности (Далее «Соглашение») заключено «</w:t>
      </w:r>
      <w:permStart w:id="581528567" w:edGrp="everyone"/>
      <w:r w:rsidR="00DA6E7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permEnd w:id="581528567"/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ermStart w:id="1937864414" w:edGrp="everyone"/>
      <w:r w:rsidR="00DA6E75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bookmarkStart w:id="0" w:name="_GoBack"/>
      <w:bookmarkEnd w:id="0"/>
      <w:r w:rsidR="00DA6E7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permEnd w:id="1937864414"/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A6E7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ermStart w:id="275602401" w:edGrp="everyone"/>
      <w:r w:rsidR="00546339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permEnd w:id="275602401"/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между </w:t>
      </w: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Акционерным обществом «</w:t>
      </w:r>
      <w:r w:rsidR="00546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БТС-</w:t>
      </w: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МОСТ»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созданным в соответствии с законодательством Российской Федерации, (далее  именуемым  «Сторона 1» или «Раскрывающая Сторона»), </w:t>
      </w:r>
      <w:r w:rsidR="00DA6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генерального директора </w:t>
      </w:r>
      <w:r w:rsidR="00DA6E75">
        <w:rPr>
          <w:rFonts w:ascii="Times New Roman" w:hAnsi="Times New Roman" w:cs="Times New Roman"/>
          <w:color w:val="000000" w:themeColor="text1"/>
          <w:sz w:val="24"/>
          <w:szCs w:val="24"/>
        </w:rPr>
        <w:t>Попова Александра Владимировича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</w:t>
      </w:r>
      <w:r w:rsidR="00DA6E75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</w:t>
      </w:r>
      <w:r w:rsidR="00DA6E75">
        <w:rPr>
          <w:rFonts w:ascii="Times New Roman" w:hAnsi="Times New Roman" w:cs="Times New Roman"/>
          <w:color w:val="000000" w:themeColor="text1"/>
          <w:sz w:val="24"/>
          <w:szCs w:val="24"/>
        </w:rPr>
        <w:t>Устава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F3EA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634278094" w:edGrp="everyone"/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 «____________________»</w:t>
      </w:r>
      <w:permEnd w:id="634278094"/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созданным в соответствии с законодательством Российской Федерации (далее именуемым «Сторона 2» или «Получающая Сторона»), в лице </w:t>
      </w:r>
      <w:permStart w:id="563742780" w:edGrp="everyone"/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permEnd w:id="563742780"/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permStart w:id="824787826" w:edGrp="everyone"/>
      <w:r w:rsidR="0054633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</w:t>
      </w:r>
      <w:permEnd w:id="824787826"/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(далее по отдельности именуемые «Сторона», а совместно именуемые «Стороны»).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ПОСКОЛЬКУ Раскрывающая Сторона согласна предоставить в распоряжение Получающей Стороны определенную информацию, прямо или косвенно связанную с конкретной сделкой/предприятием, далее именуемым «Объект» (включая, но не ограничиваясь информацией юридического, финансового и прочего характера), и находящуюся в законном владении Раскрывающей Стороны и ее аффилированных структур, дочерних компаний и представительств, а также иных компаний, находящихся под контролем Раскрывающей Стороны,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Стороны настоящим согласились о нижеследующем: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Вся деловая, финансовая, операционная и иная информация или данные, относящиеся к Объекту, включая бизнес-планы, записи, меморандумы, аналитические материалы, сводные данные, исследования и иные документы, которые содержат  или иным образом отражают такую информацию, которая становится доступной Получающей стороне и отмечена как «Конфиденциальная» в момент передачи (далее совместно именуется «Конфиденциальная информация») должна храниться в условиях строгой и полной секретности. Вся информация, сообщенная устно, должна так же рассматриваться как Конфиденциальная информация, если она определена в качестве таковой при ее раскрытии или сразу после</w:t>
      </w:r>
      <w:r w:rsidRPr="00DF3EA6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него.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Несмотря на любые положения об ином в настоящем Соглашении, Конфиденциальная информация, в числе прочего, будет включать информацию, являющуюся не публичной и относящуюся к Объекту и/или к Раскрывающей стороне, ее аффилированным лицам, клиентам и поставщикам, включая все материалы  и информацию, предоставленные в любой форме и определенные Раскрывающей стороной как конфиденциальные или являющиеся по своей природе частной собственностью и относящиеся деловой активности Раскрывающей стороны, ее финансам, операциям, стратегическому планированию, маркетинговым планам, исследованиям  и деятельности по развитию, прогнозам, тенденциям рынка, продуктам, дизайну, системам, усовершенствованиям, процессам, программно-аппаратным средствам, техническим спецификациям, блок-схемам, логическим диаграммам,  исходным  программам, схематике, записям, информационным меморандумам, ноу-хау, закупкам, коммерческим и маркетинговым стратегиям, деловым и торговым секретам, ценовой политике, деловой стратегии, а также программному обеспечению и оборудованию и любым другим материалам и информации, которые ввиду обстоятельств, при которых  они  были раскрыты Получающей Стороне, должны добросовестно трактоваться как конфиденциальные или являющиеся частной собственностью. К Конфиденциальной информации также будет относиться информация, касающаяся процедур,</w:t>
      </w:r>
      <w:r w:rsidRPr="00DF3EA6">
        <w:rPr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планов, 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стратегии, методов, коммерческой 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lastRenderedPageBreak/>
        <w:t xml:space="preserve">привлекательности инвестирования в любые ценные бумаги, вклады в акционерный капитал конкретных юридических лиц или иных организаций или иные инвестиционные объекты, либо сделок, осуществленных с целью получения прямого или косвенного контроля над коммерческими предприятиями или иных сделок, имеющих сходную природу, а также любая иная информация, касающаяся перечисленного выше, включая, но не ограничиваясь, принадлежащие Раскрывающей стороне черновики, оригиналы и копии контрактов, соглашений, сводок, меморандумов, оценок, методов, отчетов, заключений и других документов и информация, содержащая данные </w:t>
      </w:r>
      <w:r w:rsidR="007621B5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ссыл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ки и записи в любой форме в отношении вышеуказанных сделок, содержание переписки, встреч, переговоров, обсуждений и дискуссий касательно коммерческий и других условий, связанных с перечисленным выше, а также об участниках, присутствующих или упоминаемых в связи с вышеизложенным, а также любую другую связанную</w:t>
      </w:r>
      <w:r w:rsidRPr="00DF3EA6">
        <w:rPr>
          <w:rFonts w:ascii="Times New Roman" w:hAnsi="Times New Roman" w:cs="Times New Roman"/>
          <w:color w:val="000000" w:themeColor="text1"/>
          <w:spacing w:val="10"/>
          <w:w w:val="105"/>
          <w:sz w:val="24"/>
          <w:szCs w:val="24"/>
        </w:rPr>
        <w:t xml:space="preserve"> 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информацию.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7621B5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3.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Получающая Сторона не должна раскрывать Конфиденциальную информацию, или же предоставлять доступ к ней как в целом, так и в части, любым лицам,</w:t>
      </w:r>
      <w:r w:rsidR="007345F2" w:rsidRPr="00DF3EA6">
        <w:rPr>
          <w:rFonts w:ascii="Times New Roman" w:hAnsi="Times New Roman" w:cs="Times New Roman"/>
          <w:color w:val="000000" w:themeColor="text1"/>
          <w:spacing w:val="60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не указанным в настоящем Соглашении без предварительного письменного согласия Раскрывающей</w:t>
      </w:r>
      <w:r w:rsidR="007345F2" w:rsidRPr="00DF3EA6">
        <w:rPr>
          <w:rFonts w:ascii="Times New Roman" w:hAnsi="Times New Roman" w:cs="Times New Roman"/>
          <w:color w:val="000000" w:themeColor="text1"/>
          <w:spacing w:val="32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Стороны.</w:t>
      </w:r>
    </w:p>
    <w:p w:rsidR="007345F2" w:rsidRPr="00DF3EA6" w:rsidRDefault="007345F2" w:rsidP="008D3B7E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Получающая Сторона вправе копировать и передавать Конфиденциальную информацию только тем сотрудникам, агентам, представителям и поверенным Получающей Стороны или ее аффилированных структур, которые имеют непосредственное отношение к реализации Получающей Стороной прав и обязанностей в отношении Объекта и только в том случае, когда в знании ими такой информации есть необходимость в целях осуществления прав и обязанностей Получающей Стороны по отношению к Объекту. Любые лица, которым раскрывается Конфиденциальная информация, должны быть четко проинформированы о том, что такая информация носит конфиденциальный характер, а Получающая Сторона должна предпринять все разумные меры для соблюдения этими лицами ограничений, содержащихся в данном Соглашении, включая, когда этого требует Раскрывающая Сторона, заверения в том, что эти лица ознакомлены с содержанием настоящего Соглашения, что письменно ими подтверждено и/или ими подписано отдельное соглашение о соблюдении конфиденциальности по форме и содержанию, удовлетворяющим требованиям Раскрывающей Стороны.</w:t>
      </w:r>
      <w:r w:rsidRPr="00DF3EA6">
        <w:rPr>
          <w:rFonts w:ascii="Times New Roman" w:hAnsi="Times New Roman" w:cs="Times New Roman"/>
          <w:color w:val="000000" w:themeColor="text1"/>
          <w:spacing w:val="60"/>
          <w:w w:val="105"/>
          <w:sz w:val="24"/>
          <w:szCs w:val="24"/>
        </w:rPr>
        <w:t xml:space="preserve"> 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  любом случае, Получающая Сторона несет ответственность за раскрытие информации такими лицами.</w:t>
      </w: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4.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Получающая Сторона освобождается от ответственности за несоблюдение конфиденциальности в отношении Конфиденциальной информации</w:t>
      </w:r>
      <w:r w:rsidR="007345F2" w:rsidRPr="00DF3EA6">
        <w:rPr>
          <w:rFonts w:ascii="Times New Roman" w:hAnsi="Times New Roman" w:cs="Times New Roman"/>
          <w:color w:val="000000" w:themeColor="text1"/>
          <w:spacing w:val="23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если:</w:t>
      </w: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I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)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 момент раскрытия она является общедоступной на законных основаниях или становится таковой после даты раскрытия не вследствие нарушения настоящего Соглашения Раскрывающей Стороной;</w:t>
      </w:r>
      <w:r w:rsidR="007345F2" w:rsidRPr="00DF3EA6">
        <w:rPr>
          <w:rFonts w:ascii="Times New Roman" w:hAnsi="Times New Roman" w:cs="Times New Roman"/>
          <w:color w:val="000000" w:themeColor="text1"/>
          <w:spacing w:val="8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или</w:t>
      </w: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II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)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информация предоставляется третьим лицам Раскрывающей Стороной без соответствующих ограничений для третьей стороны;</w:t>
      </w:r>
      <w:r w:rsidR="007345F2" w:rsidRPr="00DF3EA6">
        <w:rPr>
          <w:rFonts w:ascii="Times New Roman" w:hAnsi="Times New Roman" w:cs="Times New Roman"/>
          <w:color w:val="000000" w:themeColor="text1"/>
          <w:spacing w:val="29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или</w:t>
      </w: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III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)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информация, раскрываемая Получающей Стороне третьими лицами, которым не запрещено такое раскрытие (информация, полученная Получающей Стороной на законных основаниях от третьих лиц);</w:t>
      </w:r>
      <w:r w:rsidR="007345F2" w:rsidRPr="00DF3EA6">
        <w:rPr>
          <w:rFonts w:ascii="Times New Roman" w:hAnsi="Times New Roman" w:cs="Times New Roman"/>
          <w:color w:val="000000" w:themeColor="text1"/>
          <w:spacing w:val="-13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или</w:t>
      </w: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IV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)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Получающая Сторона открыто и на законных основаниях обладала такой информацией до ее раскрытия или такая информация была раскрыта самостоятельно Раскрывающей Стороной;</w:t>
      </w:r>
      <w:r w:rsidR="007345F2" w:rsidRPr="00DF3EA6">
        <w:rPr>
          <w:rFonts w:ascii="Times New Roman" w:hAnsi="Times New Roman" w:cs="Times New Roman"/>
          <w:color w:val="000000" w:themeColor="text1"/>
          <w:spacing w:val="-17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или</w:t>
      </w: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V</w:t>
      </w:r>
      <w:r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)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в соответствии с требованием действующего законодательства раскрытие информации требуется государственными органами и судами (в соответствии с параграфом 7 настоящего Соглашения);</w:t>
      </w:r>
      <w:r w:rsidR="007345F2" w:rsidRPr="00DF3EA6">
        <w:rPr>
          <w:rFonts w:ascii="Times New Roman" w:hAnsi="Times New Roman" w:cs="Times New Roman"/>
          <w:color w:val="000000" w:themeColor="text1"/>
          <w:spacing w:val="7"/>
          <w:w w:val="10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или</w:t>
      </w: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запрет на раскрытие которой снят и/или раскрытие которой разрешено Раскрывающей</w:t>
      </w:r>
      <w:r w:rsidR="007345F2" w:rsidRPr="00DF3EA6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Стороной.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Насколько это практически возможно, Получающая Сторона обязана вести реестр местонахождения предоставленной ей Конфиденциальной информации, а также лиц, владеющих такой информацией, и предоставлять Раскрывающей Стороне по ее требованию информацию о таком</w:t>
      </w:r>
      <w:r w:rsidR="007345F2" w:rsidRPr="00DF3EA6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реестре.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действия настоящего Соглашения Получающая Сторона обязана по запросу Раскрывающей Стороны незамедлительно вернуть Раскрывающей Стороне все документы, содержащие любую Конфиденциальную информацию, а также копии таких документов на любых носителях, сделанные Раскрывающей Стороной или по ее поручению.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8D3B7E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Получающая Сторона становится обязанной раскрыть любую Конфиденциальную информацию в силу закона (путем уведомления или иным способом), уведомление о таком факте должно быть незамедлительно направлено по адресу Раскрывающей Стороны, с тем, чтобы Раскрывающая Сторона могла</w:t>
      </w:r>
      <w:r w:rsidR="007345F2" w:rsidRPr="00DF3EA6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предпринять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соответствующие меры для предотвращения такого раскрытия или отказаться от соблюдения положений настоящего Соглашения. При  этом  положения  настоящего пункта не должны препятствовать Получающей Стороне в раскрытии такой информации, если уведомление было направлено, а Раскрывающая Сторона не смогла предотвратить такого раскрытия либо (в зависимости от обстоятельств) отказалась от отклонения в соблюдении условий настоящего Соглашения, а Получающая Сторона остается обязанной раскрыть</w:t>
      </w:r>
      <w:r w:rsidR="007345F2" w:rsidRPr="00DF3EA6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Получающая Сторона настоящим согласились не делать никаких официальных объявлений,    а    также    заявлений  </w:t>
      </w:r>
      <w:r w:rsidR="007345F2" w:rsidRPr="00DF3EA6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третьим  </w:t>
      </w:r>
      <w:r w:rsidR="007345F2" w:rsidRPr="00DF3EA6">
        <w:rPr>
          <w:rFonts w:ascii="Times New Roman" w:hAnsi="Times New Roman" w:cs="Times New Roman"/>
          <w:color w:val="000000" w:themeColor="text1"/>
          <w:spacing w:val="53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лицам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отношении Объекта без предварительного письменного согласия Раскрывающей</w:t>
      </w:r>
      <w:r w:rsidR="007345F2" w:rsidRPr="00DF3EA6">
        <w:rPr>
          <w:rFonts w:ascii="Times New Roman" w:hAnsi="Times New Roman" w:cs="Times New Roman"/>
          <w:color w:val="000000" w:themeColor="text1"/>
          <w:spacing w:val="48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Стороны.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8D3B7E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настоящего Соглашения Получающая Сторона не приобретает, прямо или косвенно, право собственности или любые иные права или лицензии в отношении Конфиденциальной информации, но приобретает только право на доступ к информации и право ее использования, предоставляемые настоящим Соглашением.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Получающая Сторона соглашается с тем, что вся Конфиденциальная информация остается собственностью раскрывающей</w:t>
      </w:r>
      <w:r w:rsidR="007345F2" w:rsidRPr="00DF3EA6">
        <w:rPr>
          <w:rFonts w:ascii="Times New Roman" w:hAnsi="Times New Roman" w:cs="Times New Roman"/>
          <w:color w:val="000000" w:themeColor="text1"/>
          <w:spacing w:val="22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Стороны.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Обе Стороны настоящим признают, что в случае незаконной передачи конфиденциальной информации вопреки условиям настоящего Соглашения виновная Сторона обязуется возместить другой Стороне причиненный</w:t>
      </w:r>
      <w:r w:rsidR="007345F2" w:rsidRPr="00DF3EA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ущерб.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какое-либо положение настоящего Соглашения окажется недействительным, незаконным или выполнение которого может быть принудительно осуществлено в судебном порядке, это не будет влиять на действительность, законность и возможность принудительного исполнения в судебном порядке остальных положений настоящего Соглашения. В случае признания какого-либо положения настоящего Соглашения не могущим быть принудительно осуществлённым, Стороны настоящим договорились дополнить настоящее Соглашение условием, что такое положение будет выполняться в рамках, разрешенных</w:t>
      </w:r>
      <w:r w:rsidR="007345F2" w:rsidRPr="00DF3EA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законом.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8D3B7E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Соглашение и права и обязательства Сторон по настоящему Соглашению составлены, регламентируются, интерпретируются и исполняются</w:t>
      </w:r>
      <w:r w:rsidR="007345F2" w:rsidRPr="00DF3EA6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материальным правом Российской Федерации. Спор, требование или разногласие должно быть направлено и урегулировано Арбитражным судом г. Москвы.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8D3B7E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13.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Соглашение вступает в силу с даты подписания и действует до прекращения исполнения обязательств Получающей Стороны перед Раскрывающей Стороной, связанных с Объектом, и в связи с которыми передается Конфиденциальная информация, либо прекращением Соглашения по иным предусмотренным законом основаниям. Положения настоящего Соглашение распространяют свое действие на Конфиденциальную информацию, раскрываемую Сторонами как до, так и после даты настоящего </w:t>
      </w:r>
      <w:r w:rsidR="007345F2" w:rsidRPr="00DF3EA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Соглашения.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Прекращение действия настоящего Соглашения не затрагивает статуса конфиденциальности в отношении переданной по нему Конфиденциальной информации и связанных с этим статусом обязанностей Получающей Стороны, предусмотренных</w:t>
      </w:r>
      <w:r w:rsidR="007345F2" w:rsidRPr="00DF3EA6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законом.</w:t>
      </w:r>
    </w:p>
    <w:p w:rsidR="00DF3EA6" w:rsidRPr="00DF3EA6" w:rsidRDefault="00DF3EA6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DF3EA6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Соглашение является полным соглашением Сторон в отношении раскрытия Сторонами Конфиденциальной информации, а также отме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няет и  заменяет собой все предыд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ущие договоренности Сторон по предмету настоящего Соглашения, как письменные, так и</w:t>
      </w:r>
      <w:r w:rsidR="007345F2" w:rsidRPr="00DF3EA6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устные.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DF3EA6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Любые изменения и дополнения к настоящему Соглашению будут действительны, если они оформлены письменно и подписаны уполномоченными представителями каждой из</w:t>
      </w:r>
      <w:r w:rsidR="007345F2" w:rsidRPr="00DF3EA6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Сторон.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DF3EA6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Соглашение составлено в 2 (двух) экземплярах, имеющих равную юридическую силу, по одному для каждой из Сторон, на русском</w:t>
      </w:r>
      <w:r w:rsidR="007345F2" w:rsidRPr="00DF3EA6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="007345F2"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языке.</w:t>
      </w: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5F2" w:rsidRPr="00DF3EA6" w:rsidRDefault="007345F2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3E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Свидетельствуя вышеизложенное,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Стороны подписали настоящее Соглашение уполномоченны</w:t>
      </w:r>
      <w:r w:rsidR="00243057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</w:t>
      </w:r>
      <w:r w:rsidR="00243057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дату, указанную в самом его</w:t>
      </w:r>
      <w:r w:rsidRPr="00DF3EA6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DF3EA6">
        <w:rPr>
          <w:rFonts w:ascii="Times New Roman" w:hAnsi="Times New Roman" w:cs="Times New Roman"/>
          <w:color w:val="000000" w:themeColor="text1"/>
          <w:sz w:val="24"/>
          <w:szCs w:val="24"/>
        </w:rPr>
        <w:t>начале.</w:t>
      </w:r>
    </w:p>
    <w:p w:rsidR="00BA52D1" w:rsidRPr="00DF3EA6" w:rsidRDefault="00BA52D1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F3EA6" w:rsidRPr="00DF3EA6" w:rsidTr="00DF3EA6">
        <w:tc>
          <w:tcPr>
            <w:tcW w:w="4927" w:type="dxa"/>
          </w:tcPr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 имени</w:t>
            </w:r>
            <w:r w:rsidRPr="00DF3E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Стороны 1</w:t>
            </w: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АО «</w:t>
            </w:r>
            <w:r w:rsidR="0054633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БТС-</w:t>
            </w:r>
            <w:r w:rsidRPr="00DF3E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МОСТ»</w:t>
            </w: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Местонахождение: 121151, г. Москва, наб. Тараса Шевченко, д 23А, 11 этаж, сектор С, кабинет 21 м</w:t>
            </w: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Почтовый адрес: 121151, г. Москва, наб. Тараса Шевченко, д. 23А</w:t>
            </w: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ИНН/КПП 7702322731/773001001</w:t>
            </w: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F3EA6" w:rsidRPr="00DF3EA6" w:rsidRDefault="00DA6E75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Генеральный</w:t>
            </w:r>
            <w:r w:rsidR="00DF3EA6"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директор</w:t>
            </w: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_________________/</w:t>
            </w:r>
            <w:r w:rsidRPr="00DF3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6E7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А.В. Попов</w:t>
            </w:r>
            <w:r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/</w:t>
            </w:r>
          </w:p>
          <w:p w:rsidR="00DF3EA6" w:rsidRPr="00DF3EA6" w:rsidRDefault="00DF3EA6" w:rsidP="00DF3EA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3E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имени Стороны 2</w:t>
            </w:r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ermStart w:id="1386232687" w:edGrp="everyone"/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46339" w:rsidRDefault="00546339" w:rsidP="00546339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ermEnd w:id="1386232687"/>
          <w:p w:rsidR="00DF3EA6" w:rsidRPr="00DF3EA6" w:rsidRDefault="00DF3EA6" w:rsidP="007345F2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F3EA6" w:rsidRPr="00DF3EA6" w:rsidRDefault="00DF3EA6" w:rsidP="007345F2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3EA6" w:rsidRPr="00DF3EA6" w:rsidSect="007345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8BD" w:rsidRDefault="00FA28BD" w:rsidP="007345F2">
      <w:pPr>
        <w:spacing w:after="0" w:line="240" w:lineRule="auto"/>
      </w:pPr>
      <w:r>
        <w:separator/>
      </w:r>
    </w:p>
  </w:endnote>
  <w:endnote w:type="continuationSeparator" w:id="0">
    <w:p w:rsidR="00FA28BD" w:rsidRDefault="00FA28BD" w:rsidP="0073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8BD" w:rsidRDefault="00FA28BD" w:rsidP="007345F2">
      <w:pPr>
        <w:spacing w:after="0" w:line="240" w:lineRule="auto"/>
      </w:pPr>
      <w:r>
        <w:separator/>
      </w:r>
    </w:p>
  </w:footnote>
  <w:footnote w:type="continuationSeparator" w:id="0">
    <w:p w:rsidR="00FA28BD" w:rsidRDefault="00FA28BD" w:rsidP="00734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5741A"/>
    <w:multiLevelType w:val="hybridMultilevel"/>
    <w:tmpl w:val="B8F29A9A"/>
    <w:lvl w:ilvl="0" w:tplc="A300BF84">
      <w:start w:val="1"/>
      <w:numFmt w:val="lowerRoman"/>
      <w:lvlText w:val="%1)"/>
      <w:lvlJc w:val="left"/>
      <w:pPr>
        <w:ind w:left="1284" w:hanging="247"/>
        <w:jc w:val="left"/>
      </w:pPr>
      <w:rPr>
        <w:rFonts w:hint="default"/>
        <w:spacing w:val="-1"/>
        <w:w w:val="110"/>
      </w:rPr>
    </w:lvl>
    <w:lvl w:ilvl="1" w:tplc="BE742382">
      <w:numFmt w:val="bullet"/>
      <w:lvlText w:val="•"/>
      <w:lvlJc w:val="left"/>
      <w:pPr>
        <w:ind w:left="2316" w:hanging="247"/>
      </w:pPr>
      <w:rPr>
        <w:rFonts w:hint="default"/>
      </w:rPr>
    </w:lvl>
    <w:lvl w:ilvl="2" w:tplc="9F40D17E">
      <w:numFmt w:val="bullet"/>
      <w:lvlText w:val="•"/>
      <w:lvlJc w:val="left"/>
      <w:pPr>
        <w:ind w:left="3352" w:hanging="247"/>
      </w:pPr>
      <w:rPr>
        <w:rFonts w:hint="default"/>
      </w:rPr>
    </w:lvl>
    <w:lvl w:ilvl="3" w:tplc="79E4998E">
      <w:numFmt w:val="bullet"/>
      <w:lvlText w:val="•"/>
      <w:lvlJc w:val="left"/>
      <w:pPr>
        <w:ind w:left="4389" w:hanging="247"/>
      </w:pPr>
      <w:rPr>
        <w:rFonts w:hint="default"/>
      </w:rPr>
    </w:lvl>
    <w:lvl w:ilvl="4" w:tplc="6012FB02">
      <w:numFmt w:val="bullet"/>
      <w:lvlText w:val="•"/>
      <w:lvlJc w:val="left"/>
      <w:pPr>
        <w:ind w:left="5425" w:hanging="247"/>
      </w:pPr>
      <w:rPr>
        <w:rFonts w:hint="default"/>
      </w:rPr>
    </w:lvl>
    <w:lvl w:ilvl="5" w:tplc="07D61AAA">
      <w:numFmt w:val="bullet"/>
      <w:lvlText w:val="•"/>
      <w:lvlJc w:val="left"/>
      <w:pPr>
        <w:ind w:left="6462" w:hanging="247"/>
      </w:pPr>
      <w:rPr>
        <w:rFonts w:hint="default"/>
      </w:rPr>
    </w:lvl>
    <w:lvl w:ilvl="6" w:tplc="661EE988">
      <w:numFmt w:val="bullet"/>
      <w:lvlText w:val="•"/>
      <w:lvlJc w:val="left"/>
      <w:pPr>
        <w:ind w:left="7498" w:hanging="247"/>
      </w:pPr>
      <w:rPr>
        <w:rFonts w:hint="default"/>
      </w:rPr>
    </w:lvl>
    <w:lvl w:ilvl="7" w:tplc="CA6C18C4">
      <w:numFmt w:val="bullet"/>
      <w:lvlText w:val="•"/>
      <w:lvlJc w:val="left"/>
      <w:pPr>
        <w:ind w:left="8534" w:hanging="247"/>
      </w:pPr>
      <w:rPr>
        <w:rFonts w:hint="default"/>
      </w:rPr>
    </w:lvl>
    <w:lvl w:ilvl="8" w:tplc="96442B90">
      <w:numFmt w:val="bullet"/>
      <w:lvlText w:val="•"/>
      <w:lvlJc w:val="left"/>
      <w:pPr>
        <w:ind w:left="9571" w:hanging="247"/>
      </w:pPr>
      <w:rPr>
        <w:rFonts w:hint="default"/>
      </w:rPr>
    </w:lvl>
  </w:abstractNum>
  <w:abstractNum w:abstractNumId="1" w15:restartNumberingAfterBreak="0">
    <w:nsid w:val="4ACB104A"/>
    <w:multiLevelType w:val="hybridMultilevel"/>
    <w:tmpl w:val="25209D12"/>
    <w:lvl w:ilvl="0" w:tplc="4F7A7330">
      <w:start w:val="1"/>
      <w:numFmt w:val="decimal"/>
      <w:lvlText w:val="%1."/>
      <w:lvlJc w:val="left"/>
      <w:pPr>
        <w:ind w:left="1263" w:hanging="337"/>
        <w:jc w:val="right"/>
      </w:pPr>
      <w:rPr>
        <w:rFonts w:hint="default"/>
        <w:b/>
        <w:bCs/>
        <w:spacing w:val="-1"/>
        <w:w w:val="86"/>
      </w:rPr>
    </w:lvl>
    <w:lvl w:ilvl="1" w:tplc="814842BE">
      <w:numFmt w:val="bullet"/>
      <w:lvlText w:val="•"/>
      <w:lvlJc w:val="left"/>
      <w:pPr>
        <w:ind w:left="2298" w:hanging="337"/>
      </w:pPr>
      <w:rPr>
        <w:rFonts w:hint="default"/>
      </w:rPr>
    </w:lvl>
    <w:lvl w:ilvl="2" w:tplc="F11E93A2">
      <w:numFmt w:val="bullet"/>
      <w:lvlText w:val="•"/>
      <w:lvlJc w:val="left"/>
      <w:pPr>
        <w:ind w:left="3336" w:hanging="337"/>
      </w:pPr>
      <w:rPr>
        <w:rFonts w:hint="default"/>
      </w:rPr>
    </w:lvl>
    <w:lvl w:ilvl="3" w:tplc="38B25060">
      <w:numFmt w:val="bullet"/>
      <w:lvlText w:val="•"/>
      <w:lvlJc w:val="left"/>
      <w:pPr>
        <w:ind w:left="4375" w:hanging="337"/>
      </w:pPr>
      <w:rPr>
        <w:rFonts w:hint="default"/>
      </w:rPr>
    </w:lvl>
    <w:lvl w:ilvl="4" w:tplc="094ADC40">
      <w:numFmt w:val="bullet"/>
      <w:lvlText w:val="•"/>
      <w:lvlJc w:val="left"/>
      <w:pPr>
        <w:ind w:left="5413" w:hanging="337"/>
      </w:pPr>
      <w:rPr>
        <w:rFonts w:hint="default"/>
      </w:rPr>
    </w:lvl>
    <w:lvl w:ilvl="5" w:tplc="35C66656">
      <w:numFmt w:val="bullet"/>
      <w:lvlText w:val="•"/>
      <w:lvlJc w:val="left"/>
      <w:pPr>
        <w:ind w:left="6452" w:hanging="337"/>
      </w:pPr>
      <w:rPr>
        <w:rFonts w:hint="default"/>
      </w:rPr>
    </w:lvl>
    <w:lvl w:ilvl="6" w:tplc="92900E0C">
      <w:numFmt w:val="bullet"/>
      <w:lvlText w:val="•"/>
      <w:lvlJc w:val="left"/>
      <w:pPr>
        <w:ind w:left="7490" w:hanging="337"/>
      </w:pPr>
      <w:rPr>
        <w:rFonts w:hint="default"/>
      </w:rPr>
    </w:lvl>
    <w:lvl w:ilvl="7" w:tplc="35BCF2EE">
      <w:numFmt w:val="bullet"/>
      <w:lvlText w:val="•"/>
      <w:lvlJc w:val="left"/>
      <w:pPr>
        <w:ind w:left="8528" w:hanging="337"/>
      </w:pPr>
      <w:rPr>
        <w:rFonts w:hint="default"/>
      </w:rPr>
    </w:lvl>
    <w:lvl w:ilvl="8" w:tplc="5BE0336C">
      <w:numFmt w:val="bullet"/>
      <w:lvlText w:val="•"/>
      <w:lvlJc w:val="left"/>
      <w:pPr>
        <w:ind w:left="9567" w:hanging="33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4bc6+vKsyy4EkisGPcXeiUe9sXAum0Zw4+TnJ3W0aEp1dC3Q2/0czhuU678mqAzmCDFxnNAhl6lhnw5sTiwuiA==" w:salt="b5HoB3RT4S/JKqbSZutgRA==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D9"/>
    <w:rsid w:val="00135735"/>
    <w:rsid w:val="00243057"/>
    <w:rsid w:val="00546339"/>
    <w:rsid w:val="007345F2"/>
    <w:rsid w:val="007621B5"/>
    <w:rsid w:val="008D3B7E"/>
    <w:rsid w:val="00BA52D1"/>
    <w:rsid w:val="00D61751"/>
    <w:rsid w:val="00DA6E75"/>
    <w:rsid w:val="00DF3EA6"/>
    <w:rsid w:val="00F91FD9"/>
    <w:rsid w:val="00FA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B15E9E"/>
  <w15:docId w15:val="{1395BC6D-1000-41D5-9D68-C1B6D9BF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345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345F2"/>
  </w:style>
  <w:style w:type="paragraph" w:styleId="a5">
    <w:name w:val="No Spacing"/>
    <w:uiPriority w:val="1"/>
    <w:qFormat/>
    <w:rsid w:val="007345F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3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45F2"/>
  </w:style>
  <w:style w:type="paragraph" w:styleId="a8">
    <w:name w:val="footer"/>
    <w:basedOn w:val="a"/>
    <w:link w:val="a9"/>
    <w:uiPriority w:val="99"/>
    <w:unhideWhenUsed/>
    <w:rsid w:val="0073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5F2"/>
  </w:style>
  <w:style w:type="table" w:styleId="aa">
    <w:name w:val="Table Grid"/>
    <w:basedOn w:val="a1"/>
    <w:uiPriority w:val="59"/>
    <w:rsid w:val="00DF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F3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1743</Words>
  <Characters>9938</Characters>
  <Application>Microsoft Office Word</Application>
  <DocSecurity>8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 Денис Владимирович</dc:creator>
  <cp:keywords/>
  <dc:description/>
  <cp:lastModifiedBy>Баранов Дмитрий Николаевич</cp:lastModifiedBy>
  <cp:revision>7</cp:revision>
  <dcterms:created xsi:type="dcterms:W3CDTF">2019-10-09T12:22:00Z</dcterms:created>
  <dcterms:modified xsi:type="dcterms:W3CDTF">2021-12-08T13:25:00Z</dcterms:modified>
</cp:coreProperties>
</file>